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4677" w:right="0" w:firstLine="0"/>
        <w:rPr>
          <w:rFonts w:ascii="Liberation Sans" w:hAnsi="Liberation Sans" w:cs="Liberation Sans"/>
          <w:i/>
          <w:color w:val="0033cc"/>
          <w:sz w:val="22"/>
          <w:szCs w:val="22"/>
        </w:rPr>
      </w:pPr>
      <w:r>
        <w:rPr>
          <w:rFonts w:ascii="Liberation Sans" w:hAnsi="Liberation Sans" w:cs="Liberation Sans"/>
          <w:i/>
          <w:color w:val="0033cc"/>
          <w:sz w:val="22"/>
          <w:szCs w:val="22"/>
        </w:rPr>
      </w:r>
      <w:r>
        <w:rPr>
          <w:rFonts w:ascii="Liberation Sans" w:hAnsi="Liberation Sans" w:cs="Liberation Sans"/>
          <w:i/>
          <w:color w:val="280ef0"/>
          <w:sz w:val="22"/>
          <w:szCs w:val="22"/>
        </w:rPr>
        <w:t xml:space="preserve">В соответствии с п.п 2.6, 2.7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100df7"/>
          <w:sz w:val="22"/>
          <w:szCs w:val="22"/>
          <w:highlight w:val="none"/>
        </w:rPr>
        <w:t xml:space="preserve">Порядка предоставления субсидии некоммерческим организациям на 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,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 утвержденного постановлением Администрации города Новый Уренгой от 16.10.2024 № 523 </w:t>
      </w:r>
      <w:r>
        <w:rPr>
          <w:rFonts w:ascii="Liberation Sans" w:hAnsi="Liberation Sans" w:cs="Liberation Sans"/>
          <w:i/>
          <w:color w:val="0033cc"/>
          <w:sz w:val="22"/>
          <w:szCs w:val="22"/>
        </w:rPr>
      </w:r>
      <w:r>
        <w:rPr>
          <w:rFonts w:ascii="Liberation Sans" w:hAnsi="Liberation Sans" w:cs="Liberation Sans"/>
          <w:i/>
          <w:color w:val="0033cc"/>
          <w:sz w:val="22"/>
          <w:szCs w:val="22"/>
        </w:rPr>
      </w:r>
    </w:p>
    <w:p>
      <w:pPr>
        <w:pStyle w:val="889"/>
        <w:ind w:left="4819" w:right="0" w:firstLine="0"/>
        <w:spacing w:line="720" w:lineRule="auto"/>
        <w:rPr>
          <w:rFonts w:ascii="Liberation Sans" w:hAnsi="Liberation Sans" w:cs="Liberation Sans"/>
          <w:i/>
          <w:color w:val="000000" w:themeColor="text1"/>
          <w:sz w:val="27"/>
          <w:szCs w:val="27"/>
        </w:rPr>
      </w:pPr>
      <w:r>
        <w:rPr>
          <w:rFonts w:ascii="Liberation Sans" w:hAnsi="Liberation Sans" w:cs="Liberation Sans"/>
          <w:i/>
          <w:color w:val="000000" w:themeColor="text1"/>
          <w:sz w:val="27"/>
          <w:szCs w:val="27"/>
        </w:rPr>
      </w:r>
      <w:r>
        <w:rPr>
          <w:rFonts w:ascii="Liberation Sans" w:hAnsi="Liberation Sans" w:cs="Liberation Sans"/>
          <w:i/>
          <w:color w:val="000000" w:themeColor="text1"/>
          <w:sz w:val="27"/>
          <w:szCs w:val="27"/>
        </w:rPr>
      </w:r>
      <w:r>
        <w:rPr>
          <w:rFonts w:ascii="Liberation Sans" w:hAnsi="Liberation Sans" w:cs="Liberation Sans"/>
          <w:i/>
          <w:color w:val="000000" w:themeColor="text1"/>
          <w:sz w:val="27"/>
          <w:szCs w:val="27"/>
        </w:rPr>
      </w:r>
    </w:p>
    <w:p>
      <w:pPr>
        <w:pStyle w:val="884"/>
        <w:jc w:val="center"/>
        <w:spacing w:after="0" w:afterAutospacing="0" w:line="240" w:lineRule="auto"/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pPr>
      <w:r>
        <w:rPr>
          <w:rFonts w:ascii="Liberation Sans" w:hAnsi="Liberation Sans" w:cs="Liberation Sans"/>
          <w:b/>
          <w:bCs/>
          <w:color w:val="3300ff"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Порядок подачи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у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частниками отбора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 заявок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на участие в отборе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и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требовани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й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,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предъявляемы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х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 к форме и содержанию заявок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на участие в отборе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7"/>
          <w:szCs w:val="27"/>
          <w:highlight w:val="none"/>
        </w:rPr>
      </w:pP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Участник отбора в установленные в объявлении о проведении отбора сроки и порядке представляет в адрес уполномоченного органа заявку с приложением к ней следующих документов (далее – документация):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‐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план проведения информационной кампании в рамках празднования юбилея города Новый Уренгой по форме согласно приложению 2 к настоящему Порядку с приложением документов, подтверждающих сведения, указанные в плане (справка-расчет и (или) коммерческие предлож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ения);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‐ концепции (презентации) проведения информационной кампании в рамках празднования юбилея города Новый Уренгой не более 5 слайдов (при наличии);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‐ копии свидетельства о постановке на учет организации в налоговом органе по месту ее нахождения;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‐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документа, подтверждающего полномочия представителя заявителя (в случае, если заявка подается лицом, не указанным в выписке из Единого государственного реестра юридических лиц в качестве лица, имеющего право действовать без доверенности) – доверенности на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осуществление действий от имени некоммерческой организации, заверенной печатью некоммерческой организации при наличии и подписанной руководителем некоммерческой организации, выданной в соответствии с законодательством Российской Федерации;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‐ карточки предприятия заявителя.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Заявка и документация представляются путем отправки скан-образов документов и электронных файлов на электронную почту уполномоченного органа (dvp@nur.yanao.ru).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Ответственность за достоверность представляемых документов несет участник отбора.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Участник отбора может подать только одну заявку.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Прием заявок осуществляется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 течение 7 календарных дней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с даты начала подачи заявок.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rFonts w:ascii="Liberation Sans" w:hAnsi="Liberation Sans" w:cs="Liberation Sans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Liberation Sans" w:hAnsi="Liberation Sans" w:eastAsia="Liberation Sans" w:cs="Liberation Sans"/>
        <w:sz w:val="24"/>
        <w:szCs w:val="24"/>
      </w:rPr>
      <w:fldChar w:fldCharType="separate"/>
    </w:r>
    <w:r>
      <w:rPr>
        <w:rFonts w:ascii="Liberation Sans" w:hAnsi="Liberation Sans" w:eastAsia="Liberation Sans" w:cs="Liberation Sans"/>
        <w:sz w:val="24"/>
        <w:szCs w:val="24"/>
      </w:rPr>
      <w:t xml:space="preserve">2</w:t>
    </w:r>
    <w:r>
      <w:rPr>
        <w:rFonts w:ascii="Liberation Sans" w:hAnsi="Liberation Sans" w:eastAsia="Liberation Sans" w:cs="Liberation Sans"/>
        <w:sz w:val="24"/>
        <w:szCs w:val="24"/>
      </w:rPr>
      <w:fldChar w:fldCharType="end"/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  <w:p>
    <w:pPr>
      <w:pStyle w:val="895"/>
      <w:rPr>
        <w:rFonts w:ascii="Liberation Sans" w:hAnsi="Liberation Sans" w:cs="Liberation Sans"/>
        <w:sz w:val="24"/>
        <w:szCs w:val="24"/>
      </w:rPr>
    </w:pPr>
    <w:r>
      <w:rPr>
        <w:rFonts w:ascii="Liberation Sans" w:hAnsi="Liberation Sans" w:eastAsia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  <w:sz w:val="27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color w:val="363fe3"/>
        <w:sz w:val="27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20" w:hanging="360"/>
      </w:pPr>
      <w:rPr>
        <w:rFonts w:hint="default" w:ascii="Liberation Serif" w:hAnsi="Liberation Serif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00ff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  <w:color w:val="3300ff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1429" w:hanging="360"/>
      </w:pPr>
      <w:rPr>
        <w:rFonts w:hint="default" w:ascii="Liberation Serif" w:hAnsi="Liberation Serif" w:eastAsia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85">
    <w:name w:val="Основной шрифт абзаца"/>
    <w:next w:val="885"/>
    <w:link w:val="884"/>
    <w:uiPriority w:val="1"/>
    <w:semiHidden/>
    <w:unhideWhenUsed/>
  </w:style>
  <w:style w:type="table" w:styleId="886">
    <w:name w:val="Обычная таблица"/>
    <w:next w:val="886"/>
    <w:link w:val="884"/>
    <w:uiPriority w:val="99"/>
    <w:semiHidden/>
    <w:unhideWhenUsed/>
    <w:qFormat/>
    <w:tblPr/>
  </w:style>
  <w:style w:type="numbering" w:styleId="887">
    <w:name w:val="Нет списка"/>
    <w:next w:val="887"/>
    <w:link w:val="884"/>
    <w:uiPriority w:val="99"/>
    <w:semiHidden/>
    <w:unhideWhenUsed/>
  </w:style>
  <w:style w:type="character" w:styleId="888">
    <w:name w:val="Гиперссылка"/>
    <w:basedOn w:val="885"/>
    <w:next w:val="888"/>
    <w:link w:val="884"/>
    <w:uiPriority w:val="99"/>
    <w:unhideWhenUsed/>
    <w:rPr>
      <w:color w:val="0000ff"/>
      <w:u w:val="single"/>
    </w:rPr>
  </w:style>
  <w:style w:type="paragraph" w:styleId="889">
    <w:name w:val="Текст"/>
    <w:basedOn w:val="884"/>
    <w:next w:val="889"/>
    <w:link w:val="890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0">
    <w:name w:val="Текст Знак"/>
    <w:basedOn w:val="885"/>
    <w:next w:val="890"/>
    <w:link w:val="88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1">
    <w:name w:val="ConsPlusNormal"/>
    <w:next w:val="891"/>
    <w:link w:val="892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892">
    <w:name w:val="ConsPlusNormal Знак"/>
    <w:next w:val="892"/>
    <w:link w:val="891"/>
    <w:rPr>
      <w:rFonts w:ascii="Arial" w:hAnsi="Arial" w:eastAsia="Times New Roman" w:cs="Arial"/>
      <w:sz w:val="22"/>
      <w:szCs w:val="22"/>
      <w:lang w:eastAsia="ru-RU" w:bidi="ar-SA"/>
    </w:rPr>
  </w:style>
  <w:style w:type="paragraph" w:styleId="893">
    <w:name w:val="Текст выноски"/>
    <w:basedOn w:val="884"/>
    <w:next w:val="893"/>
    <w:link w:val="89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4">
    <w:name w:val="Текст выноски Знак"/>
    <w:basedOn w:val="885"/>
    <w:next w:val="894"/>
    <w:link w:val="893"/>
    <w:uiPriority w:val="99"/>
    <w:semiHidden/>
    <w:rPr>
      <w:rFonts w:ascii="Tahoma" w:hAnsi="Tahoma" w:cs="Tahoma"/>
      <w:sz w:val="16"/>
      <w:szCs w:val="16"/>
    </w:rPr>
  </w:style>
  <w:style w:type="paragraph" w:styleId="895">
    <w:name w:val="Верхний колонтитул"/>
    <w:basedOn w:val="884"/>
    <w:next w:val="895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6">
    <w:name w:val="Верхний колонтитул Знак"/>
    <w:basedOn w:val="885"/>
    <w:next w:val="896"/>
    <w:link w:val="895"/>
    <w:uiPriority w:val="99"/>
  </w:style>
  <w:style w:type="paragraph" w:styleId="897">
    <w:name w:val="Нижний колонтитул"/>
    <w:basedOn w:val="884"/>
    <w:next w:val="897"/>
    <w:link w:val="89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8">
    <w:name w:val="Нижний колонтитул Знак"/>
    <w:basedOn w:val="885"/>
    <w:next w:val="898"/>
    <w:link w:val="897"/>
    <w:uiPriority w:val="99"/>
    <w:semiHidden/>
  </w:style>
  <w:style w:type="character" w:styleId="899">
    <w:name w:val="Выделение"/>
    <w:basedOn w:val="885"/>
    <w:next w:val="899"/>
    <w:link w:val="884"/>
    <w:uiPriority w:val="20"/>
    <w:qFormat/>
    <w:rPr>
      <w:i/>
      <w:iCs/>
    </w:rPr>
  </w:style>
  <w:style w:type="paragraph" w:styleId="900">
    <w:name w:val="Абзац списка"/>
    <w:basedOn w:val="884"/>
    <w:next w:val="900"/>
    <w:link w:val="884"/>
    <w:uiPriority w:val="34"/>
    <w:qFormat/>
    <w:pPr>
      <w:contextualSpacing/>
      <w:ind w:left="720"/>
    </w:pPr>
  </w:style>
  <w:style w:type="character" w:styleId="901">
    <w:name w:val="Строгий"/>
    <w:next w:val="901"/>
    <w:link w:val="884"/>
    <w:rPr>
      <w:b/>
      <w:bCs/>
    </w:rPr>
  </w:style>
  <w:style w:type="paragraph" w:styleId="902">
    <w:name w:val="ConsPlusNonformat"/>
    <w:next w:val="902"/>
    <w:link w:val="88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03">
    <w:name w:val="Основной текст с отступом"/>
    <w:basedOn w:val="884"/>
    <w:next w:val="903"/>
    <w:link w:val="904"/>
    <w:pPr>
      <w:ind w:left="283"/>
      <w:spacing w:after="12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04">
    <w:name w:val="Основной текст с отступом Знак"/>
    <w:basedOn w:val="885"/>
    <w:next w:val="904"/>
    <w:link w:val="903"/>
    <w:rPr>
      <w:rFonts w:ascii="Times New Roman" w:hAnsi="Times New Roman" w:eastAsia="Times New Roman"/>
      <w:sz w:val="28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  <w:style w:type="paragraph" w:styleId="908" w:customStyle="1">
    <w:name w:val="Текст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9" w:customStyle="1">
    <w:name w:val="Plain Text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0" w:customStyle="1">
    <w:name w:val="Body Text"/>
    <w:basedOn w:val="81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Koleboshina.AP</dc:creator>
  <cp:revision>21</cp:revision>
  <dcterms:created xsi:type="dcterms:W3CDTF">2022-05-05T04:57:00Z</dcterms:created>
  <dcterms:modified xsi:type="dcterms:W3CDTF">2024-10-25T09:47:17Z</dcterms:modified>
  <cp:version>786432</cp:version>
</cp:coreProperties>
</file>