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left="4677" w:right="0" w:firstLine="0"/>
        <w:rPr>
          <w:rFonts w:ascii="Liberation Sans" w:hAnsi="Liberation Sans" w:cs="Liberation Sans"/>
          <w:bCs/>
          <w:i/>
          <w:color w:val="280ef0"/>
          <w:sz w:val="22"/>
          <w:szCs w:val="22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п.п. 2.9-2.16</w:t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bCs/>
          <w:i/>
          <w:color w:val="280ef0"/>
          <w:sz w:val="22"/>
          <w:szCs w:val="22"/>
        </w:rPr>
      </w:r>
    </w:p>
    <w:p>
      <w:pPr>
        <w:pStyle w:val="915"/>
        <w:ind w:left="4677" w:right="0" w:firstLine="0"/>
        <w:spacing w:line="720" w:lineRule="auto"/>
        <w:rPr>
          <w:rFonts w:ascii="Liberation Sans" w:hAnsi="Liberation Sans" w:cs="Liberation Sans"/>
          <w:i/>
          <w:sz w:val="27"/>
          <w:szCs w:val="27"/>
        </w:rPr>
      </w:pP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</w:p>
    <w:p>
      <w:pPr>
        <w:pStyle w:val="910"/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Правила рассмотрения и оценки заявок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на участие в отборе</w:t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cs="Liberation Sans"/>
          <w:b w:val="0"/>
          <w:bCs w:val="0"/>
          <w:strike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sz w:val="27"/>
          <w:szCs w:val="27"/>
          <w:highlight w:val="none"/>
        </w:rPr>
        <w:t xml:space="preserve">Срок рассмотрения</w:t>
      </w:r>
      <w:r>
        <w:rPr>
          <w:rFonts w:ascii="Liberation Sans" w:hAnsi="Liberation Sans" w:cs="Liberation Sans"/>
          <w:b w:val="0"/>
          <w:bCs w:val="0"/>
          <w:sz w:val="27"/>
          <w:szCs w:val="27"/>
          <w:highlight w:val="none"/>
        </w:rPr>
        <w:t xml:space="preserve"> уполномоченным органом представленных заявки и документации, указанных в пункте 2.6 настоящего Порядка, не превышает 30 (тридцать) рабочих дней с даты регистрации заявки в журнале регистрации заявок.</w:t>
      </w:r>
      <w:r>
        <w:rPr>
          <w:rFonts w:ascii="Liberation Sans" w:hAnsi="Liberation Sans" w:cs="Liberation Sans"/>
          <w:b w:val="0"/>
          <w:bCs w:val="0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strike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Порядок </w:t>
      </w:r>
      <w:r>
        <w:rPr>
          <w:rFonts w:ascii="Liberation Sans" w:hAnsi="Liberation Sans" w:eastAsia="Calibri" w:cs="Liberation Sans"/>
          <w:b/>
          <w:bCs/>
          <w:color w:val="000000" w:themeColor="text1"/>
          <w:sz w:val="27"/>
          <w:szCs w:val="27"/>
          <w:highlight w:val="none"/>
        </w:rPr>
        <w:t xml:space="preserve">рассмотрения </w:t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уполномоченным органом </w:t>
      </w:r>
      <w:r>
        <w:rPr>
          <w:rFonts w:ascii="Liberation Sans" w:hAnsi="Liberation Sans" w:eastAsia="Calibri" w:cs="Liberation Sans"/>
          <w:b/>
          <w:bCs/>
          <w:color w:val="000000" w:themeColor="text1"/>
          <w:sz w:val="27"/>
          <w:szCs w:val="27"/>
          <w:highlight w:val="none"/>
        </w:rPr>
        <w:t xml:space="preserve">представленных заявок и документации:</w:t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  <w:t xml:space="preserve">1. 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В срок, указанный в объявлении о проведении отбора, уполномоченный орган осуществляет прием заявок, регистрацию их в журнале регистрации заявок с указанием даты и времени поступления.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276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  <w:t xml:space="preserve">2. 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В срок, указанный в пункте 2.9 настоящего Порядка, уполномоченный орган осуществляет проверку заявок и документации на предмет их соответствия требованиям, установленным в объявлении о проведении отбора на получение субсидии и участников отбора о соответств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ии требованиям, указанным в пункте 2.11 настоящего Порядка. 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  <w:t xml:space="preserve">Возврат заявок участникам отбора на доработку не предусмотрен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</w:p>
    <w:p>
      <w:pPr>
        <w:pStyle w:val="935"/>
        <w:ind w:firstLine="709"/>
        <w:jc w:val="both"/>
        <w:spacing w:before="0" w:beforeAutospacing="0" w:line="240" w:lineRule="auto"/>
        <w:tabs>
          <w:tab w:val="left" w:pos="993" w:leader="none"/>
        </w:tabs>
        <w:rPr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Участник отбора по собственной инициативе пред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ставляет документы, подтверждающие соответствие требованиям, указанным 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пункте 2.11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наст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pStyle w:val="935"/>
        <w:contextualSpacing w:val="0"/>
        <w:ind w:firstLine="709"/>
        <w:jc w:val="both"/>
        <w:widowControl/>
        <w:tabs>
          <w:tab w:val="left" w:pos="993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В случае непредставления участнико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м отбора документов, отнесенных настоящим пунктом к числу добровольно представляемых,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уполномоченный орган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в течение 3 (трех) рабочих дней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запрашивает их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самостоятельно в государ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ственных информационных системах или в порядке межведомственного электронного взаимодейств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ия.</w:t>
      </w:r>
      <w:r/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6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Соответствие участника отбора требованию подпункта 2.11.1 пункта 2.11 настоящего Порядка в части места регистрации не на территории государств, включенных в утвержденный Министерством финансов Российской Федерации перечень, и территорий, используемых для пр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омежуточного (офшорного) владения активами в Российской Федерации путем проверки выписки из ЕГРЮЛ, а в части отсутствия в уставном (складочном) капитале доли прямого или косвенного (через третьих лиц) участия офшорных компаний, в совокупности превышающей 25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 процентов, подтверждается подписанием заявки.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6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Сведения, подтверждающие соответствие участника отбора требованиям, установленным подпунктами 2.11.2, 2.11.3, 2.11.5, 2.11.6, 2.11.7 пункта 2.11 настоящего Порядка, запрашиваются уполномоченным органом в порядке межведомственного взаимодействия и посредство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м получения информации, содержащейся на интернет-сервисах, размещенных на официальных сайтах Федеральной налоговой службы, Министерства юстиции Российской Федерации, Федеральной службы по финансовому мониторингу, органов исполнительной власти Ямало-Ненецког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650" w:leader="none"/>
        </w:tabs>
        <w:rPr>
          <w:rFonts w:ascii="Liberation Sans" w:hAnsi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Сведения, подтверждающие соответствие участника отбора требованиям, установленным подпунктом 2.11.4 пункта 2.11 настоящего Порядка, запрашиваются уполномоченным органом в Департаменте финансов Администрации города Новый Уренгой.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</w:pP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Уполномоченный орган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 в срок, указанный в пункте 2.9 настоящего Порядка: 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– готовит заключение по результатам проверки заявки и документации на соответствие требованиям, указанным в объявлении о проведении отбора на получение субсидии, и участников отбора на соответствие требованиям, указанным в пункте 2.11 настоящего Порядка (да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лее – заключение по заявкам); 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– осуществляет организационные мероприятия, необходимые для проведения заседания конкурсной комиссии (далее – конкурсная комиссия). 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Заключение по заявкам содержит выводы о наличии оснований для предоставления участнику отбора субсидии или об отсутствии таких оснований (далее соответственно - положительное заключение, отрицательное заключение).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Основания для подготовки уполномоченным органом отрицательного заключения указаны в пункте 2.17 настоящего Порядка.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Основанием для подготовки положительного заключения является отсутствие оснований для подготовки отрицательного заключения, указанных в пункте 2.17 настоящего Порядка.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8"/>
        <w:jc w:val="both"/>
        <w:spacing w:after="0" w:afterAutospacing="0" w:line="240" w:lineRule="auto"/>
        <w:widowControl w:val="off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Отбор получателей субсидии осуществляет конкурсная комиссия. 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widowControl w:val="off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Положение о конкурсной комиссии, ее состав утверждаются правовым актом Администрации города Новый Уренгой. Решения конкурсной комиссии носят рекомендательный характер и оформляются протоколом.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Заседание конкурсной комиссии по вопросу подведения итогов отбора заявок и документации проводится по мере подготовки всех заключений по заявкам для конкурсной комиссии, но не ранее окончания срока приема заявок. Заседание конкурсной комиссии проводится в т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ечение 1 (одного) рабочего дня.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7"/>
          <w:szCs w:val="27"/>
          <w:highlight w:val="none"/>
        </w:rPr>
      </w:r>
    </w:p>
    <w:p>
      <w:pPr>
        <w:ind w:left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7"/>
          <w:szCs w:val="27"/>
          <w:highlight w:val="none"/>
        </w:rPr>
        <w:t xml:space="preserve">Конкурсн</w:t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ая комиссия: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1. Принимает решение об отклонении заявки участника отбора по основаниям, указанным в пункте 2.17 Порядка.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2. 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Рассматривает поступившие заявки и документацию, заключения по заявкам, рассчитывает баллы по каждой заявке, не отклоненной конкурсной комиссией по основаниям, предусмотренным пунктом 2.17 настоящего Порядка, осуществляет ранжирование заявок в порядке набра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нных ими баллов.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3. Определя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ет победителя отбора.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4. 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Принимает решение об отклонении заявки участника отбора по основаниям, указанным в пункте 2.17 настоящего Порядка.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5.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Принимает решение о возможности предоставления субсидии единственному участнику отбора, подавшему единственную заявку, соответствующую требованиям, установленным в объявлении о проведении отбора, при услов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ии, что заявитель полностью соответствует требованиям, установленным пунктом 2.11 нас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тоящего Порядка</w:t>
      </w:r>
      <w:r>
        <w:rPr>
          <w:rFonts w:ascii="Liberation Sans" w:hAnsi="Liberation Sans" w:eastAsia="Liberation Serif" w:cs="Liberation Sans"/>
          <w:color w:val="000000" w:themeColor="text1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6. 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Принимает решение о признании отбора не состоявшимся по основаниям, указанным в пункте 2.18 По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рядка.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1560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7. Решение конкурсной комиссии об определении победителя отбора принимается на основе ранжирования заявок в соответствии с присвоенными им порядковыми н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омерами, исходя из набранных ими баллов по установленным в пункте 2.5 Порядка 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критериям 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оценки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 заявок.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Каждой заявке по результатам балльной оценки, предусмотренной пунктом 2.5 Порядка, присваиваются баллы.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Заявке, набравшей наибольшее количество баллов, присваивается порядковый номер 1. При равенстве набранных баллов порядковый номер 1 присваивается заявке, которая поступила в уполномоченный орган ранее других заявок.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50"/>
        <w:ind w:lef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Заявкам, не набравшим наибольшее количество баллов, присваиваются следующие порядковые номера в зависимости от количества набранных ими баллов. При равенстве набранных баллов преимущество отдается заявке, которая поступила в уполномоченный орган ранее други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х заявок.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  <w:t xml:space="preserve">8. 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итогам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проведенного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отбора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заявок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случае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отсутствия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оснований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отклонения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заявки,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указанных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пункте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2.17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настоящего</w:t>
      </w:r>
      <w:r>
        <w:rPr>
          <w:rFonts w:ascii="Liberation Sans" w:hAnsi="Liberation Sans" w:cs="Liberation Sans"/>
          <w:color w:val="000000" w:themeColor="text1"/>
          <w:spacing w:val="-6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Порядка, а также на основании решения конкурсной комиссии, принятого в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подпунктом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2.16.7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настоящего</w:t>
      </w:r>
      <w:r>
        <w:rPr>
          <w:rFonts w:ascii="Liberation Sans" w:hAnsi="Liberation Sans" w:cs="Liberation Sans"/>
          <w:color w:val="000000" w:themeColor="text1"/>
          <w:spacing w:val="-6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Порядка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рекомендует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ГРБС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предоставить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субсидию победителю отбора. </w:t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 случае наличия оснований для отклон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ения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заявки на участие в отборе, указанных в пункте 2.17 настоящего Порядка, а</w:t>
      </w:r>
      <w:r>
        <w:rPr>
          <w:rFonts w:ascii="Liberation Sans" w:hAnsi="Liberation Sans" w:cs="Liberation Sans"/>
          <w:color w:val="000000" w:themeColor="text1"/>
          <w:spacing w:val="-6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также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отношении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заявок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набравших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наибольшее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количество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баллов,</w:t>
      </w:r>
      <w:r>
        <w:rPr>
          <w:rFonts w:ascii="Liberation Sans" w:hAnsi="Liberation Sans" w:cs="Liberation Sans"/>
          <w:color w:val="000000" w:themeColor="text1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cs="Liberation Sans"/>
          <w:color w:val="000000" w:themeColor="text1"/>
          <w:spacing w:val="-6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рекомендует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ГРБС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предоставление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субсидии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участникам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отбора,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представившим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данные</w:t>
      </w:r>
      <w:r>
        <w:rPr>
          <w:rFonts w:ascii="Liberation Sans" w:hAnsi="Liberation Sans" w:cs="Liberation Sans"/>
          <w:color w:val="000000" w:themeColor="text1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заявки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r>
      <w:r/>
    </w:p>
    <w:p>
      <w:pPr>
        <w:ind w:firstLine="0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rFonts w:ascii="Liberation Sans" w:hAnsi="Liberation Sans" w:cs="Liberation Sans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Liberation Sans" w:hAnsi="Liberation Sans" w:eastAsia="Liberation Sans" w:cs="Liberation Sans"/>
        <w:sz w:val="24"/>
        <w:szCs w:val="24"/>
      </w:rPr>
      <w:fldChar w:fldCharType="separate"/>
    </w:r>
    <w:r>
      <w:rPr>
        <w:rFonts w:ascii="Liberation Sans" w:hAnsi="Liberation Sans" w:eastAsia="Liberation Sans" w:cs="Liberation Sans"/>
        <w:sz w:val="24"/>
        <w:szCs w:val="24"/>
      </w:rPr>
      <w:t xml:space="preserve">2</w:t>
    </w:r>
    <w:r>
      <w:rPr>
        <w:rFonts w:ascii="Liberation Sans" w:hAnsi="Liberation Sans" w:eastAsia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921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11">
    <w:name w:val="Основной шрифт абзаца"/>
    <w:next w:val="911"/>
    <w:link w:val="910"/>
    <w:uiPriority w:val="1"/>
    <w:semiHidden/>
    <w:unhideWhenUsed/>
  </w:style>
  <w:style w:type="table" w:styleId="912">
    <w:name w:val="Обычная таблица"/>
    <w:next w:val="912"/>
    <w:link w:val="910"/>
    <w:uiPriority w:val="99"/>
    <w:semiHidden/>
    <w:unhideWhenUsed/>
    <w:qFormat/>
    <w:tblPr/>
  </w:style>
  <w:style w:type="numbering" w:styleId="913">
    <w:name w:val="Нет списка"/>
    <w:next w:val="913"/>
    <w:link w:val="910"/>
    <w:uiPriority w:val="99"/>
    <w:semiHidden/>
    <w:unhideWhenUsed/>
  </w:style>
  <w:style w:type="character" w:styleId="914">
    <w:name w:val="Гиперссылка"/>
    <w:basedOn w:val="911"/>
    <w:next w:val="914"/>
    <w:link w:val="910"/>
    <w:uiPriority w:val="99"/>
    <w:unhideWhenUsed/>
    <w:rPr>
      <w:color w:val="0000ff"/>
      <w:u w:val="single"/>
    </w:rPr>
  </w:style>
  <w:style w:type="paragraph" w:styleId="915">
    <w:name w:val="Текст"/>
    <w:basedOn w:val="910"/>
    <w:next w:val="915"/>
    <w:link w:val="916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6">
    <w:name w:val="Текст Знак"/>
    <w:basedOn w:val="911"/>
    <w:next w:val="916"/>
    <w:link w:val="915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7">
    <w:name w:val="ConsPlusNormal"/>
    <w:next w:val="917"/>
    <w:link w:val="918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918">
    <w:name w:val="ConsPlusNormal Знак"/>
    <w:next w:val="918"/>
    <w:link w:val="917"/>
    <w:rPr>
      <w:rFonts w:ascii="Arial" w:hAnsi="Arial" w:eastAsia="Times New Roman" w:cs="Arial"/>
      <w:sz w:val="22"/>
      <w:szCs w:val="22"/>
      <w:lang w:eastAsia="ru-RU" w:bidi="ar-SA"/>
    </w:rPr>
  </w:style>
  <w:style w:type="paragraph" w:styleId="919">
    <w:name w:val="Текст выноски"/>
    <w:basedOn w:val="910"/>
    <w:next w:val="919"/>
    <w:link w:val="9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0">
    <w:name w:val="Текст выноски Знак"/>
    <w:basedOn w:val="911"/>
    <w:next w:val="920"/>
    <w:link w:val="919"/>
    <w:uiPriority w:val="99"/>
    <w:semiHidden/>
    <w:rPr>
      <w:rFonts w:ascii="Tahoma" w:hAnsi="Tahoma" w:cs="Tahoma"/>
      <w:sz w:val="16"/>
      <w:szCs w:val="16"/>
    </w:rPr>
  </w:style>
  <w:style w:type="paragraph" w:styleId="921">
    <w:name w:val="Верхний колонтитул"/>
    <w:basedOn w:val="910"/>
    <w:next w:val="921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>
    <w:name w:val="Верхний колонтитул Знак"/>
    <w:basedOn w:val="911"/>
    <w:next w:val="922"/>
    <w:link w:val="921"/>
    <w:uiPriority w:val="99"/>
  </w:style>
  <w:style w:type="paragraph" w:styleId="923">
    <w:name w:val="Нижний колонтитул"/>
    <w:basedOn w:val="910"/>
    <w:next w:val="923"/>
    <w:link w:val="92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>
    <w:name w:val="Нижний колонтитул Знак"/>
    <w:basedOn w:val="911"/>
    <w:next w:val="924"/>
    <w:link w:val="923"/>
    <w:uiPriority w:val="99"/>
    <w:semiHidden/>
  </w:style>
  <w:style w:type="character" w:styleId="925">
    <w:name w:val="Выделение"/>
    <w:basedOn w:val="911"/>
    <w:next w:val="925"/>
    <w:link w:val="910"/>
    <w:uiPriority w:val="20"/>
    <w:qFormat/>
    <w:rPr>
      <w:i/>
      <w:iCs/>
    </w:rPr>
  </w:style>
  <w:style w:type="paragraph" w:styleId="926">
    <w:name w:val="Абзац списка"/>
    <w:basedOn w:val="910"/>
    <w:next w:val="926"/>
    <w:link w:val="910"/>
    <w:uiPriority w:val="34"/>
    <w:qFormat/>
    <w:pPr>
      <w:contextualSpacing/>
      <w:ind w:left="720"/>
    </w:pPr>
  </w:style>
  <w:style w:type="character" w:styleId="927">
    <w:name w:val="Строгий"/>
    <w:next w:val="927"/>
    <w:link w:val="910"/>
    <w:rPr>
      <w:b/>
      <w:bCs/>
    </w:rPr>
  </w:style>
  <w:style w:type="paragraph" w:styleId="928">
    <w:name w:val="ConsPlusNonformat"/>
    <w:next w:val="928"/>
    <w:link w:val="91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9">
    <w:name w:val="Основной текст с отступом"/>
    <w:basedOn w:val="910"/>
    <w:next w:val="929"/>
    <w:link w:val="930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30">
    <w:name w:val="Основной текст с отступом Знак"/>
    <w:basedOn w:val="911"/>
    <w:next w:val="930"/>
    <w:link w:val="929"/>
    <w:rPr>
      <w:rFonts w:ascii="Times New Roman" w:hAnsi="Times New Roman" w:eastAsia="Times New Roman"/>
      <w:sz w:val="28"/>
    </w:rPr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  <w:style w:type="paragraph" w:styleId="934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5" w:customStyle="1">
    <w:name w:val="Plain Text"/>
    <w:basedOn w:val="81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18</cp:revision>
  <dcterms:created xsi:type="dcterms:W3CDTF">2022-05-05T06:10:00Z</dcterms:created>
  <dcterms:modified xsi:type="dcterms:W3CDTF">2024-10-24T10:10:40Z</dcterms:modified>
  <cp:version>786432</cp:version>
</cp:coreProperties>
</file>