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</w:r>
      <w:r/>
    </w:p>
    <w:p>
      <w:pPr>
        <w:pStyle w:val="84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ПЛАН</w:t>
      </w:r>
      <w:r/>
    </w:p>
    <w:p>
      <w:pPr>
        <w:pStyle w:val="84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культурно</w:t>
      </w:r>
      <w:r>
        <w:rPr>
          <w:rFonts w:ascii="Liberation Serif" w:hAnsi="Liberation Serif"/>
        </w:rPr>
        <w:t xml:space="preserve">-</w:t>
      </w:r>
      <w:r>
        <w:rPr>
          <w:rFonts w:ascii="Liberation Serif" w:hAnsi="Liberation Serif"/>
        </w:rPr>
        <w:t xml:space="preserve">массовых и спортивных мероприятий, </w:t>
      </w:r>
      <w:r/>
    </w:p>
    <w:p>
      <w:pPr>
        <w:pStyle w:val="84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посвященных празднованию Дня России </w:t>
      </w:r>
      <w:r/>
    </w:p>
    <w:p>
      <w:r/>
      <w:r/>
    </w:p>
    <w:p>
      <w:pPr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</w:r>
      <w:r/>
    </w:p>
    <w:tbl>
      <w:tblPr>
        <w:tblW w:w="9261" w:type="dxa"/>
        <w:jc w:val="center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417"/>
        <w:gridCol w:w="4064"/>
      </w:tblGrid>
      <w:tr>
        <w:trPr>
          <w:jc w:val="center"/>
          <w:trHeight w:val="495"/>
        </w:trPr>
        <w:tc>
          <w:tcPr>
            <w:gridSpan w:val="3"/>
            <w:tcW w:w="92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Районы Северный и Южный</w:t>
            </w:r>
            <w:r/>
          </w:p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/>
                <w:b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7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Мероприятие</w:t>
            </w:r>
            <w:r/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Дата, время проведения</w:t>
            </w:r>
            <w:r/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Место проведения</w:t>
            </w:r>
            <w:r/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Выставка плакатов «Моя Россия – моя страна»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Май - июнь 2022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ч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реждение дополнительного образования «Детская экологическая станция» (далее - МБУДО ДЭС) 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Танцевальный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флешмоб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#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МЫРоссия»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.06.2022 –10.06.2022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Лагеря, организованные образовательными организациями, осуществляющими организацию отдыха и оздоровления обучающихся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в каникулярное время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Литературная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тематическая программа для старшего поколения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«История великой державы»</w:t>
            </w:r>
            <w:r/>
          </w:p>
          <w:p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07.06.2022,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14.00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Государственное бюджетное учреждение ЯНАО «Центр социального обслуживания граждан пожилого возраста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инвалидов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в муниципальном образовании город Новый Уренгой»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Познавательно-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развлекательная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программа «Мы все твои, Россия, дети»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07.06.2022,</w:t>
            </w:r>
            <w:r/>
          </w:p>
          <w:p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учреждение культуры Централизованная библиотечная система (далее – МБУК ЦБС), </w:t>
            </w:r>
            <w:r/>
          </w:p>
          <w:p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библиотека                                  на Набережной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Акция «День России» в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рамках окружной акции «Мы – граждане России!»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08.06.2022 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12.06.2022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Улицы, торговые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центры города, района Коротчаево и Лимбяяха</w:t>
            </w:r>
            <w:r/>
          </w:p>
        </w:tc>
      </w:tr>
      <w:tr>
        <w:trPr>
          <w:jc w:val="center"/>
        </w:trPr>
        <w:tc>
          <w:tcPr>
            <w:tcW w:w="37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Мастер-класс по декоративно-прикладному творчеству </w:t>
            </w:r>
            <w:r/>
          </w:p>
          <w:p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«Русь рукотворная»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09.06.2022,</w:t>
            </w:r>
            <w:r/>
          </w:p>
          <w:p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11.00</w:t>
            </w:r>
            <w:r/>
          </w:p>
        </w:tc>
        <w:tc>
          <w:tcPr>
            <w:shd w:val="clear" w:color="auto" w:fill="auto"/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МБУК ЦБС, </w:t>
            </w:r>
            <w:r/>
          </w:p>
          <w:p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библиотека                                    на Набережной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Урок-беседа «Единством сильна Россия» 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10.06.2022,</w:t>
            </w:r>
            <w:r/>
          </w:p>
          <w:p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14.00</w:t>
            </w:r>
            <w:r/>
          </w:p>
        </w:tc>
        <w:tc>
          <w:tcPr>
            <w:shd w:val="clear" w:color="auto" w:fill="auto"/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МБУК ЦБС, </w:t>
            </w:r>
            <w:r/>
          </w:p>
          <w:p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Центральная городская библиотека имени журнала «Смена»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Мультимедийное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 </w:t>
            </w:r>
            <w:r/>
          </w:p>
          <w:p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путешествие «Мой гимн, мой флаг, моя Россия!» 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10.06.2022,</w:t>
            </w:r>
            <w:r/>
          </w:p>
          <w:p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11.00</w:t>
            </w:r>
            <w:r/>
          </w:p>
        </w:tc>
        <w:tc>
          <w:tcPr>
            <w:shd w:val="clear" w:color="auto" w:fill="auto"/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МБУК ЦБС, библиотечно-информационный центр «Новая смена»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Игра-путешествие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«Я живу в России»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10.06.2022</w:t>
            </w:r>
            <w:r/>
          </w:p>
        </w:tc>
        <w:tc>
          <w:tcPr>
            <w:shd w:val="clear" w:color="auto" w:fill="auto"/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i/>
                <w:spacing w:val="-6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Муниципальное автономное учреждение дополнительного образования «Межшкольный учебный комбинат «Эврика»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b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Образовательно-просветительская программа для детей «Заповедная Россия»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/>
                <w:b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10.06.2022</w:t>
            </w:r>
            <w:r/>
          </w:p>
        </w:tc>
        <w:tc>
          <w:tcPr>
            <w:shd w:val="clear" w:color="auto" w:fill="auto"/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МБУДО ДЭС 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Познавательно-игровая программа «Россия - родина моя»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10.00</w:t>
            </w:r>
            <w:r/>
          </w:p>
        </w:tc>
        <w:tc>
          <w:tcPr>
            <w:shd w:val="clear" w:color="auto" w:fill="auto"/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учреждение дополнительного образования Городской дворец творчества «Академия талантов» (далее - МБУ ДО ГДТ «Академия талантов»)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Познавательно-игровая программа «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Гостеприимный Ямал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 ДО ГДТ «Академия талантов»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Веселые старты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«Виват, Россия!»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 ДО ГДТ «Академия талантов»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Мастер-класс по изготовлению броши из фоамирана «Голубь мира»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 ДО ГДТ «Академия талантов»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Скиппинг-марафон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«Прыжки в лето!»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 ДО ГДТ «Академия талантов»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Игровая программа с элементами квиза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«Наш дом Россия!»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 ДО ГДТ «Академия талантов»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Торжественная церемония вручения паспортов гражданам РФ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«Ты - гражданин России!»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11.06.2022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МБУК ЦБС,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библиотечно-информационный центр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«Новая смена»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Фестиваль комплекса ГТО (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XI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ступени)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10.00 –регистрация;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11.00 –начало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Спортивный многофункциональный общественный комплекс под открытым небом  «Виадук»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Фестиваль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автозвука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Драйв-фест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14.00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Торгово-развлекательный центр «Солнечный»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(северный вход)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Праздничная программа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«Гордая моя Россия»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13.00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Городская площадь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Интерактивная площадка «Поднимаем России знамя!»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13.00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Городская площадь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Квест-игра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«Мы - граждане России»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13.00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Городская площадь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Открытие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XX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Летней дворовой спартакиады по месту жительства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«За здоровый образ жизни»: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 комбинированная эстафета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14.00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Спортивный многофункциональный общественный комплекс под открытым небом  «Виадук»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Концерт молодежной группы «Кинолента»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18.00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Спортивный многофункциональный общественный комплекс под открытым небом  «Виадук»</w:t>
            </w:r>
            <w:r/>
          </w:p>
        </w:tc>
      </w:tr>
      <w:tr>
        <w:trPr>
          <w:jc w:val="center"/>
          <w:trHeight w:val="1218"/>
        </w:trPr>
        <w:tc>
          <w:tcPr>
            <w:tcW w:w="3780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Фестиваль «Территория детства. Мир безграничных возможностей»</w:t>
            </w:r>
            <w:r/>
          </w:p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13.06.2022,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Территория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Государственного бюджетного учреждения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ЯНАО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«Центр социальной помощи семье и детям «Садко»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муниципальном образовании город Новый Уренгой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Викторина «Что мы знаем о России»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14.00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МБУК ЦБС,</w:t>
            </w:r>
            <w:r/>
          </w:p>
          <w:p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библиотека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р-на Коротчаево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Физкультурные мероприятия,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посвященные Дню России в районе Коротчаево: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 спортивно-игровая программа для детей и взрослых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11.00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Проспект Мира,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массовых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гуляний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Праздничная концертная программа «Моя Россия»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массовых гуляний р-на Коротчаево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Детская игровая программа 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«Патриоты-юниоры»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12.30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массовых гуляний р-на Коротчаево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Работа спортивной площадки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12.30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массовых гуляний р-на Коротчаево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Информационный час «Ты тоже родился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в России!»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10.06.2022,</w:t>
            </w:r>
            <w:r/>
          </w:p>
          <w:p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13.00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МБУК ЦБС,</w:t>
            </w:r>
            <w:r/>
          </w:p>
          <w:p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библиотека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р-на Лимбяяха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Физкультурные мероприятия, посвященные Дню России в районе Лимбяяха: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 спортивно-игровая программа для детей и взрослых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11.00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массовых гуляний р-на Лимбяяха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Детская игровая программа «Триколоровцы»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13.00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массовых гуляний р-на Лимбяяха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Работа спортивной площадки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13.00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массовых гуляний р-на Лимбяяха</w:t>
            </w:r>
            <w:r/>
          </w:p>
        </w:tc>
      </w:tr>
      <w:tr>
        <w:trPr>
          <w:jc w:val="center"/>
        </w:trPr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Праздничная концертная программа «Великая страна»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12.06.2022,</w:t>
            </w:r>
            <w:r/>
          </w:p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13.30</w:t>
            </w:r>
            <w:r/>
          </w:p>
        </w:tc>
        <w:tc>
          <w:tcPr>
            <w:tcW w:w="406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массовых гуляний р-на Лимбяяха</w:t>
            </w:r>
            <w:r/>
          </w:p>
        </w:tc>
      </w:tr>
    </w:tbl>
    <w:p>
      <w:pPr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851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0268148"/>
      <w:docPartObj>
        <w:docPartGallery w:val="Page Numbers (Top of Page)"/>
        <w:docPartUnique w:val="true"/>
      </w:docPartObj>
      <w:rPr/>
    </w:sdtPr>
    <w:sdtContent>
      <w:p>
        <w:pPr>
          <w:pStyle w:val="850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r/>
    <w:r/>
  </w:p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425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8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38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883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0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51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hAnsi="PT Astra Serif" w:eastAsiaTheme="minorHAnsi" w:cstheme="minorBidi" w:hint="default"/>
        <w:sz w:val="28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47"/>
    <w:link w:val="846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45"/>
    <w:next w:val="845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6">
    <w:name w:val="Heading 2 Char"/>
    <w:basedOn w:val="847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8">
    <w:name w:val="Heading 3 Char"/>
    <w:basedOn w:val="847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0">
    <w:name w:val="Heading 4 Char"/>
    <w:basedOn w:val="847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2">
    <w:name w:val="Heading 5 Char"/>
    <w:basedOn w:val="847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4">
    <w:name w:val="Heading 6 Char"/>
    <w:basedOn w:val="847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6">
    <w:name w:val="Heading 7 Char"/>
    <w:basedOn w:val="847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45"/>
    <w:next w:val="845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8">
    <w:name w:val="Heading 8 Char"/>
    <w:basedOn w:val="847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45"/>
    <w:next w:val="845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0">
    <w:name w:val="Heading 9 Char"/>
    <w:basedOn w:val="847"/>
    <w:link w:val="689"/>
    <w:uiPriority w:val="9"/>
    <w:rPr>
      <w:rFonts w:ascii="Arial" w:hAnsi="Arial" w:cs="Arial" w:eastAsia="Arial"/>
      <w:i/>
      <w:iCs/>
      <w:sz w:val="21"/>
      <w:szCs w:val="21"/>
    </w:rPr>
  </w:style>
  <w:style w:type="character" w:styleId="691">
    <w:name w:val="Title Char"/>
    <w:basedOn w:val="847"/>
    <w:link w:val="856"/>
    <w:uiPriority w:val="10"/>
    <w:rPr>
      <w:sz w:val="48"/>
      <w:szCs w:val="48"/>
    </w:rPr>
  </w:style>
  <w:style w:type="paragraph" w:styleId="692">
    <w:name w:val="Subtitle"/>
    <w:basedOn w:val="845"/>
    <w:next w:val="845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7"/>
    <w:link w:val="692"/>
    <w:uiPriority w:val="11"/>
    <w:rPr>
      <w:sz w:val="24"/>
      <w:szCs w:val="24"/>
    </w:rPr>
  </w:style>
  <w:style w:type="paragraph" w:styleId="694">
    <w:name w:val="Quote"/>
    <w:basedOn w:val="845"/>
    <w:next w:val="845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5"/>
    <w:next w:val="845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7"/>
    <w:link w:val="850"/>
    <w:uiPriority w:val="99"/>
  </w:style>
  <w:style w:type="character" w:styleId="699">
    <w:name w:val="Footer Char"/>
    <w:basedOn w:val="847"/>
    <w:link w:val="852"/>
    <w:uiPriority w:val="99"/>
  </w:style>
  <w:style w:type="paragraph" w:styleId="700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852"/>
    <w:uiPriority w:val="99"/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Cs w:val="20"/>
      <w:lang w:eastAsia="ru-RU"/>
    </w:rPr>
  </w:style>
  <w:style w:type="paragraph" w:styleId="846">
    <w:name w:val="Heading 1"/>
    <w:basedOn w:val="845"/>
    <w:next w:val="845"/>
    <w:link w:val="855"/>
    <w:qFormat/>
    <w:pPr>
      <w:jc w:val="center"/>
      <w:keepNext/>
      <w:outlineLvl w:val="0"/>
    </w:p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Header"/>
    <w:basedOn w:val="845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47"/>
    <w:link w:val="850"/>
    <w:uiPriority w:val="99"/>
  </w:style>
  <w:style w:type="paragraph" w:styleId="852">
    <w:name w:val="Footer"/>
    <w:basedOn w:val="845"/>
    <w:link w:val="8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47"/>
    <w:link w:val="852"/>
    <w:uiPriority w:val="99"/>
    <w:semiHidden/>
  </w:style>
  <w:style w:type="paragraph" w:styleId="854">
    <w:name w:val="List Paragraph"/>
    <w:basedOn w:val="845"/>
    <w:uiPriority w:val="34"/>
    <w:qFormat/>
    <w:pPr>
      <w:contextualSpacing/>
      <w:ind w:left="720"/>
    </w:pPr>
  </w:style>
  <w:style w:type="character" w:styleId="855" w:customStyle="1">
    <w:name w:val="Заголовок 1 Знак"/>
    <w:basedOn w:val="847"/>
    <w:link w:val="846"/>
    <w:rPr>
      <w:rFonts w:ascii="Times New Roman" w:hAnsi="Times New Roman" w:cs="Times New Roman" w:eastAsia="Times New Roman"/>
      <w:szCs w:val="20"/>
      <w:lang w:eastAsia="ru-RU"/>
    </w:rPr>
  </w:style>
  <w:style w:type="paragraph" w:styleId="856">
    <w:name w:val="Title"/>
    <w:basedOn w:val="845"/>
    <w:link w:val="857"/>
    <w:qFormat/>
    <w:pPr>
      <w:jc w:val="center"/>
    </w:pPr>
    <w:rPr>
      <w:b/>
    </w:rPr>
  </w:style>
  <w:style w:type="character" w:styleId="857" w:customStyle="1">
    <w:name w:val="Название Знак"/>
    <w:basedOn w:val="847"/>
    <w:link w:val="856"/>
    <w:rPr>
      <w:rFonts w:ascii="Times New Roman" w:hAnsi="Times New Roman" w:cs="Times New Roman" w:eastAsia="Times New Roman"/>
      <w:b/>
      <w:szCs w:val="20"/>
      <w:lang w:eastAsia="ru-RU"/>
    </w:rPr>
  </w:style>
  <w:style w:type="paragraph" w:styleId="858">
    <w:name w:val="No Spacing"/>
    <w:link w:val="859"/>
    <w:uiPriority w:val="99"/>
    <w:qFormat/>
    <w:pPr>
      <w:spacing w:after="0" w:line="240" w:lineRule="auto"/>
    </w:pPr>
    <w:rPr>
      <w:rFonts w:asciiTheme="minorHAnsi" w:hAnsiTheme="minorHAnsi" w:eastAsiaTheme="minorEastAsia"/>
      <w:sz w:val="22"/>
      <w:lang w:eastAsia="ru-RU"/>
    </w:rPr>
  </w:style>
  <w:style w:type="character" w:styleId="859" w:customStyle="1">
    <w:name w:val="Без интервала Знак"/>
    <w:link w:val="858"/>
    <w:uiPriority w:val="99"/>
    <w:rPr>
      <w:rFonts w:asciiTheme="minorHAnsi" w:hAnsiTheme="minorHAnsi" w:eastAsiaTheme="minorEastAsia"/>
      <w:sz w:val="22"/>
      <w:lang w:eastAsia="ru-RU"/>
    </w:rPr>
  </w:style>
  <w:style w:type="paragraph" w:styleId="860">
    <w:name w:val="Body Text 3"/>
    <w:basedOn w:val="845"/>
    <w:link w:val="861"/>
    <w:pPr>
      <w:spacing w:after="120"/>
    </w:pPr>
    <w:rPr>
      <w:sz w:val="16"/>
      <w:szCs w:val="16"/>
    </w:rPr>
  </w:style>
  <w:style w:type="character" w:styleId="861" w:customStyle="1">
    <w:name w:val="Основной текст 3 Знак"/>
    <w:basedOn w:val="847"/>
    <w:link w:val="860"/>
    <w:rPr>
      <w:rFonts w:ascii="Times New Roman" w:hAnsi="Times New Roman" w:cs="Times New Roman" w:eastAsia="Times New Roman"/>
      <w:sz w:val="16"/>
      <w:szCs w:val="16"/>
      <w:lang w:eastAsia="ru-RU"/>
    </w:rPr>
  </w:style>
  <w:style w:type="table" w:styleId="862">
    <w:name w:val="Table Grid"/>
    <w:basedOn w:val="848"/>
    <w:uiPriority w:val="3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3">
    <w:name w:val="Strong"/>
    <w:basedOn w:val="847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1969568-A792-443D-B9B0-194C2B4D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31. Бланк распоряжения Администрации города Новый Уренгой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Баимова Ильмира Галиахметовна</dc:creator>
  <cp:revision>4</cp:revision>
  <dcterms:created xsi:type="dcterms:W3CDTF">2022-06-07T05:26:00Z</dcterms:created>
  <dcterms:modified xsi:type="dcterms:W3CDTF">2022-06-09T06:39:25Z</dcterms:modified>
</cp:coreProperties>
</file>